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54715" w14:textId="39958AC1" w:rsidR="00084301" w:rsidRDefault="00DD7164">
      <w:pPr>
        <w:spacing w:before="240" w:after="80"/>
        <w:jc w:val="center"/>
      </w:pPr>
      <w:r>
        <w:rPr>
          <w:rFonts w:ascii="Times New Roman"/>
          <w:noProof/>
        </w:rPr>
        <w:drawing>
          <wp:anchor distT="0" distB="0" distL="114300" distR="114300" simplePos="0" relativeHeight="251659264" behindDoc="1" locked="0" layoutInCell="1" allowOverlap="1" wp14:anchorId="38F8DC57" wp14:editId="734C9FAA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35000" cy="812800"/>
            <wp:effectExtent l="0" t="0" r="0" b="6350"/>
            <wp:wrapThrough wrapText="bothSides">
              <wp:wrapPolygon edited="0">
                <wp:start x="8424" y="0"/>
                <wp:lineTo x="0" y="4050"/>
                <wp:lineTo x="0" y="18225"/>
                <wp:lineTo x="9720" y="21263"/>
                <wp:lineTo x="18792" y="21263"/>
                <wp:lineTo x="20736" y="19744"/>
                <wp:lineTo x="20736" y="8100"/>
                <wp:lineTo x="20088" y="1519"/>
                <wp:lineTo x="19440" y="0"/>
                <wp:lineTo x="8424" y="0"/>
              </wp:wrapPolygon>
            </wp:wrapThrough>
            <wp:docPr id="8" name="Image 8" descr="Icon  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 descr="Icon  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color w:val="1F4E79"/>
          <w:sz w:val="48"/>
          <w:szCs w:val="48"/>
        </w:rPr>
        <w:t>LILYDALE PRIMARY SCHOOL</w:t>
      </w:r>
    </w:p>
    <w:p w14:paraId="76249C89" w14:textId="1DF886B2" w:rsidR="00084301" w:rsidRDefault="00447F2C">
      <w:pPr>
        <w:spacing w:after="80"/>
        <w:jc w:val="center"/>
      </w:pPr>
      <w:r>
        <w:rPr>
          <w:b/>
          <w:bCs/>
          <w:color w:val="2E75B6"/>
          <w:sz w:val="32"/>
          <w:szCs w:val="32"/>
        </w:rPr>
        <w:t xml:space="preserve">Child Safe Visitor, Contractor &amp; Family Management </w:t>
      </w:r>
      <w:r w:rsidR="00B659AE">
        <w:rPr>
          <w:b/>
          <w:bCs/>
          <w:color w:val="2E75B6"/>
          <w:sz w:val="32"/>
          <w:szCs w:val="32"/>
        </w:rPr>
        <w:t>Proc</w:t>
      </w:r>
      <w:r w:rsidR="00E71D59">
        <w:rPr>
          <w:b/>
          <w:bCs/>
          <w:color w:val="2E75B6"/>
          <w:sz w:val="32"/>
          <w:szCs w:val="32"/>
        </w:rPr>
        <w:t>edure</w:t>
      </w:r>
    </w:p>
    <w:p w14:paraId="3CDA344D" w14:textId="7671E650" w:rsidR="00084301" w:rsidRDefault="00447F2C" w:rsidP="00B659AE">
      <w:pPr>
        <w:spacing w:after="240"/>
        <w:jc w:val="center"/>
      </w:pPr>
      <w:r>
        <w:rPr>
          <w:i/>
          <w:iCs/>
          <w:color w:val="666666"/>
          <w:sz w:val="24"/>
          <w:szCs w:val="24"/>
        </w:rPr>
        <w:t>Sign-In Procedures and Site Induction Requirements</w:t>
      </w:r>
    </w:p>
    <w:p w14:paraId="1A1541D2" w14:textId="77777777" w:rsidR="00084301" w:rsidRDefault="00447F2C">
      <w:pPr>
        <w:pStyle w:val="Heading1"/>
        <w:pBdr>
          <w:bottom w:val="single" w:sz="6" w:space="4" w:color="2E75B6"/>
        </w:pBdr>
      </w:pPr>
      <w:r>
        <w:t>1. Purpose and Scope</w:t>
      </w:r>
    </w:p>
    <w:p w14:paraId="3C8AD295" w14:textId="1C73F0ED" w:rsidR="00084301" w:rsidRDefault="00447F2C">
      <w:pPr>
        <w:spacing w:before="80" w:after="80"/>
      </w:pPr>
      <w:r>
        <w:t>Lilydale Primary School (LPS) is committed to the safety and wellbeing of all students in our care. This policy establishes a clear, consistent process for managing all visitors, families, contractors, and volunteers who enter our school grounds, ensuring our obligations under the Child Safe Standards (Victorian Government) are fully met.</w:t>
      </w:r>
    </w:p>
    <w:p w14:paraId="34BD67EF" w14:textId="77777777" w:rsidR="00084301" w:rsidRDefault="00084301">
      <w:pPr>
        <w:spacing w:before="60" w:after="60"/>
      </w:pPr>
    </w:p>
    <w:p w14:paraId="61491271" w14:textId="32E48651" w:rsidR="00084301" w:rsidRDefault="00447F2C">
      <w:pPr>
        <w:spacing w:before="80" w:after="80"/>
      </w:pPr>
      <w:r>
        <w:t xml:space="preserve">This </w:t>
      </w:r>
      <w:r w:rsidR="00B659AE">
        <w:t xml:space="preserve">process </w:t>
      </w:r>
      <w:r>
        <w:t>applies to:</w:t>
      </w:r>
    </w:p>
    <w:p w14:paraId="4B5551FE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All parents and family members visiting the school</w:t>
      </w:r>
    </w:p>
    <w:p w14:paraId="2337480E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Volunteers (classroom helpers, excursion support, reading groups, etc.)</w:t>
      </w:r>
    </w:p>
    <w:p w14:paraId="1AD3FF34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Contractors, tradespeople, and service providers</w:t>
      </w:r>
    </w:p>
    <w:p w14:paraId="51F2379F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External program providers (e.g. visiting educators, sports coaches, allied health)</w:t>
      </w:r>
    </w:p>
    <w:p w14:paraId="544C9E69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Student teachers and university placement staff</w:t>
      </w:r>
    </w:p>
    <w:p w14:paraId="1A65FF35" w14:textId="65124D0F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D</w:t>
      </w:r>
      <w:r w:rsidR="00AF7313">
        <w:t>epartment of Education</w:t>
      </w:r>
      <w:r>
        <w:t xml:space="preserve"> representatives, and support staff</w:t>
      </w:r>
    </w:p>
    <w:p w14:paraId="55FC5EA8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Any other adult who enters school grounds during school hours</w:t>
      </w:r>
    </w:p>
    <w:p w14:paraId="4DC83B08" w14:textId="77777777" w:rsidR="00084301" w:rsidRDefault="00084301">
      <w:pPr>
        <w:spacing w:before="120" w:after="120"/>
      </w:pPr>
    </w:p>
    <w:p w14:paraId="158D803E" w14:textId="77777777" w:rsidR="00084301" w:rsidRDefault="00447F2C">
      <w:pPr>
        <w:pStyle w:val="Heading1"/>
        <w:pBdr>
          <w:bottom w:val="single" w:sz="6" w:space="4" w:color="2E75B6"/>
        </w:pBdr>
      </w:pPr>
      <w:r>
        <w:t>2. Legislative and Policy Framework</w:t>
      </w:r>
    </w:p>
    <w:p w14:paraId="707D984C" w14:textId="1CCFBAAD" w:rsidR="00084301" w:rsidRDefault="00447F2C">
      <w:pPr>
        <w:spacing w:before="80" w:after="80"/>
      </w:pPr>
      <w:r>
        <w:t xml:space="preserve">This </w:t>
      </w:r>
      <w:r w:rsidR="00B659AE">
        <w:t xml:space="preserve">process </w:t>
      </w:r>
      <w:r>
        <w:t>is grounded in the following legislation, standards, and departmental guidance:</w:t>
      </w:r>
    </w:p>
    <w:p w14:paraId="1D488A48" w14:textId="77777777" w:rsidR="00084301" w:rsidRDefault="00084301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084301" w14:paraId="3947E11C" w14:textId="77777777"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EDAA93" w14:textId="77777777" w:rsidR="00084301" w:rsidRDefault="00447F2C">
            <w:r>
              <w:rPr>
                <w:b/>
                <w:bCs/>
                <w:color w:val="1F4E79"/>
              </w:rPr>
              <w:t>Legislation &amp; Standards</w:t>
            </w:r>
          </w:p>
        </w:tc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2B588A4" w14:textId="77777777" w:rsidR="00084301" w:rsidRDefault="00447F2C">
            <w:r>
              <w:rPr>
                <w:b/>
                <w:bCs/>
                <w:color w:val="1F4E79"/>
              </w:rPr>
              <w:t>Department &amp; School Policy</w:t>
            </w:r>
          </w:p>
        </w:tc>
      </w:tr>
      <w:tr w:rsidR="00084301" w14:paraId="3F72DAC1" w14:textId="77777777"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593BE60" w14:textId="77777777" w:rsidR="00084301" w:rsidRDefault="00447F2C">
            <w:r>
              <w:rPr>
                <w:sz w:val="21"/>
                <w:szCs w:val="21"/>
              </w:rPr>
              <w:t>Child Safe Standards (Vic) – Standard 1-11</w:t>
            </w:r>
          </w:p>
        </w:tc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FFB1C20" w14:textId="06435541" w:rsidR="00084301" w:rsidRPr="00B659AE" w:rsidRDefault="00E71D59">
            <w:pPr>
              <w:rPr>
                <w:highlight w:val="yellow"/>
              </w:rPr>
            </w:pPr>
            <w:hyperlink r:id="rId8" w:history="1">
              <w:r w:rsidRPr="00E71D59">
                <w:rPr>
                  <w:rStyle w:val="Hyperlink"/>
                  <w:sz w:val="21"/>
                  <w:szCs w:val="21"/>
                </w:rPr>
                <w:t>DE Child Safe Standards</w:t>
              </w:r>
            </w:hyperlink>
          </w:p>
        </w:tc>
      </w:tr>
      <w:tr w:rsidR="00084301" w14:paraId="191C2412" w14:textId="77777777"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43F03DE" w14:textId="77777777" w:rsidR="00084301" w:rsidRDefault="00447F2C">
            <w:r>
              <w:rPr>
                <w:sz w:val="21"/>
                <w:szCs w:val="21"/>
              </w:rPr>
              <w:t>Education and Training Reform Act 2006</w:t>
            </w:r>
          </w:p>
        </w:tc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08428BF" w14:textId="602A5DDA" w:rsidR="00084301" w:rsidRPr="00B659AE" w:rsidRDefault="00E71D59">
            <w:pPr>
              <w:rPr>
                <w:highlight w:val="yellow"/>
              </w:rPr>
            </w:pPr>
            <w:hyperlink r:id="rId9" w:history="1">
              <w:r w:rsidRPr="00E71D59">
                <w:rPr>
                  <w:rStyle w:val="Hyperlink"/>
                  <w:sz w:val="21"/>
                  <w:szCs w:val="21"/>
                </w:rPr>
                <w:t>DE Visitors in Schools Policy</w:t>
              </w:r>
            </w:hyperlink>
          </w:p>
        </w:tc>
      </w:tr>
      <w:tr w:rsidR="00084301" w14:paraId="4C614EBB" w14:textId="77777777"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316D7A2" w14:textId="77777777" w:rsidR="00084301" w:rsidRDefault="00447F2C">
            <w:r>
              <w:rPr>
                <w:sz w:val="21"/>
                <w:szCs w:val="21"/>
              </w:rPr>
              <w:t>Privacy and Data Protection Act 2014 (Vic)</w:t>
            </w:r>
          </w:p>
        </w:tc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E5B3732" w14:textId="6F1AD7E3" w:rsidR="00084301" w:rsidRPr="00B659AE" w:rsidRDefault="00E71D59">
            <w:pPr>
              <w:rPr>
                <w:highlight w:val="yellow"/>
              </w:rPr>
            </w:pPr>
            <w:hyperlink r:id="rId10" w:history="1">
              <w:r w:rsidRPr="00E71D59">
                <w:rPr>
                  <w:rStyle w:val="Hyperlink"/>
                  <w:sz w:val="21"/>
                  <w:szCs w:val="21"/>
                </w:rPr>
                <w:t>LPS Child Safety and Wellbeing Policy</w:t>
              </w:r>
            </w:hyperlink>
          </w:p>
        </w:tc>
      </w:tr>
      <w:tr w:rsidR="00084301" w14:paraId="16C1C711" w14:textId="77777777"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C164668" w14:textId="77777777" w:rsidR="00084301" w:rsidRDefault="00447F2C">
            <w:r>
              <w:rPr>
                <w:sz w:val="21"/>
                <w:szCs w:val="21"/>
              </w:rPr>
              <w:t>Occupational Health &amp; Safety Act 2004 (Vic)</w:t>
            </w:r>
          </w:p>
        </w:tc>
        <w:tc>
          <w:tcPr>
            <w:tcW w:w="468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D97E1E5" w14:textId="7E119494" w:rsidR="00084301" w:rsidRPr="00B659AE" w:rsidRDefault="00E71D59">
            <w:pPr>
              <w:rPr>
                <w:highlight w:val="yellow"/>
              </w:rPr>
            </w:pPr>
            <w:hyperlink r:id="rId11" w:history="1">
              <w:r w:rsidRPr="00E71D59">
                <w:rPr>
                  <w:rStyle w:val="Hyperlink"/>
                  <w:sz w:val="21"/>
                  <w:szCs w:val="21"/>
                </w:rPr>
                <w:t>LPS Duty of Care Policy</w:t>
              </w:r>
            </w:hyperlink>
          </w:p>
        </w:tc>
      </w:tr>
    </w:tbl>
    <w:p w14:paraId="1953A344" w14:textId="77777777" w:rsidR="00084301" w:rsidRDefault="00447F2C">
      <w:pPr>
        <w:pStyle w:val="Heading1"/>
        <w:pBdr>
          <w:bottom w:val="single" w:sz="6" w:space="4" w:color="2E75B6"/>
        </w:pBdr>
      </w:pPr>
      <w:r>
        <w:t>3. Our Child Safe Commitment</w:t>
      </w:r>
    </w:p>
    <w:p w14:paraId="38AB2A8A" w14:textId="77777777" w:rsidR="00084301" w:rsidRDefault="00447F2C">
      <w:pPr>
        <w:spacing w:before="80" w:after="80"/>
      </w:pPr>
      <w:r>
        <w:t>Every person who enters Lilydale Primary School is entering a child safe environment. We ask all visitors, families, and contractors to uphold the following principles while on school grounds:</w:t>
      </w:r>
    </w:p>
    <w:p w14:paraId="198BCAE0" w14:textId="77777777" w:rsidR="00084301" w:rsidRDefault="00084301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84301" w14:paraId="51C6ED11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22F2A594" w14:textId="77777777" w:rsidR="00084301" w:rsidRDefault="00447F2C">
            <w:r>
              <w:rPr>
                <w:b/>
                <w:bCs/>
                <w:color w:val="1F4E79"/>
                <w:sz w:val="24"/>
                <w:szCs w:val="24"/>
              </w:rPr>
              <w:t>Child Safe Standards – Visitor Expectations</w:t>
            </w:r>
          </w:p>
        </w:tc>
      </w:tr>
      <w:tr w:rsidR="00084301" w14:paraId="1CE17A6A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78177E5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The safety and wellbeing of children </w:t>
            </w:r>
            <w:proofErr w:type="gramStart"/>
            <w:r>
              <w:t>is the highest priority at all times</w:t>
            </w:r>
            <w:proofErr w:type="gramEnd"/>
          </w:p>
        </w:tc>
      </w:tr>
      <w:tr w:rsidR="00084301" w14:paraId="5DEA136A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121EF68" w14:textId="531932A0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Adults do not have unsupervised access to students unless authorised</w:t>
            </w:r>
          </w:p>
        </w:tc>
      </w:tr>
      <w:tr w:rsidR="00084301" w14:paraId="744AA798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7F7B0E8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lastRenderedPageBreak/>
              <w:t>Any child safety concerns must be reported immediately to the front office</w:t>
            </w:r>
          </w:p>
        </w:tc>
      </w:tr>
      <w:tr w:rsidR="00084301" w14:paraId="48F388FC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F0C6109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Respectful, appropriate language and behaviour is </w:t>
            </w:r>
            <w:proofErr w:type="gramStart"/>
            <w:r>
              <w:t>expected at all times</w:t>
            </w:r>
            <w:proofErr w:type="gramEnd"/>
          </w:p>
        </w:tc>
      </w:tr>
      <w:tr w:rsidR="00084301" w14:paraId="0AF4726F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1DB08FC" w14:textId="68F7CE4A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Photography or recording of students is strictly prohibited without written consent</w:t>
            </w:r>
            <w:r w:rsidR="00B659AE">
              <w:t xml:space="preserve"> (including during assembly)</w:t>
            </w:r>
          </w:p>
        </w:tc>
      </w:tr>
      <w:tr w:rsidR="00084301" w14:paraId="6E91B844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ED6B95B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Children’s personal information is treated with respect and confidentiality</w:t>
            </w:r>
          </w:p>
        </w:tc>
      </w:tr>
      <w:tr w:rsidR="00084301" w14:paraId="0C8B313F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756EB3B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Any behaviour that makes a child feel unsafe or uncomfortable must be reported</w:t>
            </w:r>
          </w:p>
        </w:tc>
      </w:tr>
    </w:tbl>
    <w:p w14:paraId="52ECE633" w14:textId="77777777" w:rsidR="00084301" w:rsidRDefault="00084301">
      <w:pPr>
        <w:spacing w:before="120" w:after="120"/>
      </w:pPr>
    </w:p>
    <w:p w14:paraId="654801B9" w14:textId="77777777" w:rsidR="00084301" w:rsidRDefault="00447F2C">
      <w:pPr>
        <w:pStyle w:val="Heading1"/>
        <w:pBdr>
          <w:bottom w:val="single" w:sz="6" w:space="4" w:color="2E75B6"/>
        </w:pBdr>
      </w:pPr>
      <w:r>
        <w:t>4. Visitor Categories and WWC Requirements</w:t>
      </w:r>
    </w:p>
    <w:p w14:paraId="16771630" w14:textId="77777777" w:rsidR="00084301" w:rsidRDefault="00447F2C">
      <w:pPr>
        <w:spacing w:before="80" w:after="80"/>
      </w:pPr>
      <w:r>
        <w:t>Working with Children (WWC) Check requirements vary depending on the type of visit and level of access to students. The table below outlines requirements for each visitor category.</w:t>
      </w:r>
    </w:p>
    <w:p w14:paraId="719AEC34" w14:textId="77777777" w:rsidR="00084301" w:rsidRDefault="00084301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  <w:gridCol w:w="3000"/>
        <w:gridCol w:w="2300"/>
        <w:gridCol w:w="1560"/>
      </w:tblGrid>
      <w:tr w:rsidR="00084301" w14:paraId="0590E872" w14:textId="77777777" w:rsidTr="0895B003">
        <w:tc>
          <w:tcPr>
            <w:tcW w:w="25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646CA4" w14:textId="77777777" w:rsidR="00084301" w:rsidRDefault="00447F2C">
            <w:r>
              <w:rPr>
                <w:b/>
                <w:bCs/>
                <w:color w:val="1F4E79"/>
                <w:sz w:val="21"/>
                <w:szCs w:val="21"/>
              </w:rPr>
              <w:t>Visitor Type</w:t>
            </w:r>
          </w:p>
        </w:tc>
        <w:tc>
          <w:tcPr>
            <w:tcW w:w="30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A8C332" w14:textId="77777777" w:rsidR="00084301" w:rsidRDefault="00447F2C">
            <w:r>
              <w:rPr>
                <w:b/>
                <w:bCs/>
                <w:color w:val="1F4E79"/>
                <w:sz w:val="21"/>
                <w:szCs w:val="21"/>
              </w:rPr>
              <w:t>Examples</w:t>
            </w:r>
          </w:p>
        </w:tc>
        <w:tc>
          <w:tcPr>
            <w:tcW w:w="23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55130F" w14:textId="77777777" w:rsidR="00084301" w:rsidRDefault="00447F2C">
            <w:r>
              <w:rPr>
                <w:b/>
                <w:bCs/>
                <w:color w:val="1F4E79"/>
                <w:sz w:val="21"/>
                <w:szCs w:val="21"/>
              </w:rPr>
              <w:t>WWC Check Required?</w:t>
            </w:r>
          </w:p>
        </w:tc>
        <w:tc>
          <w:tcPr>
            <w:tcW w:w="15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C8DB47" w14:textId="77777777" w:rsidR="00084301" w:rsidRDefault="00447F2C">
            <w:r>
              <w:rPr>
                <w:b/>
                <w:bCs/>
                <w:color w:val="1F4E79"/>
                <w:sz w:val="21"/>
                <w:szCs w:val="21"/>
              </w:rPr>
              <w:t>Supervised?</w:t>
            </w:r>
          </w:p>
        </w:tc>
      </w:tr>
      <w:tr w:rsidR="00084301" w14:paraId="2917632C" w14:textId="77777777" w:rsidTr="0895B003">
        <w:tc>
          <w:tcPr>
            <w:tcW w:w="25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3212FD" w14:textId="77777777" w:rsidR="00084301" w:rsidRDefault="00447F2C">
            <w:r>
              <w:rPr>
                <w:b/>
                <w:bCs/>
                <w:sz w:val="20"/>
                <w:szCs w:val="20"/>
              </w:rPr>
              <w:t>Family / Parent (brief visit)</w:t>
            </w:r>
          </w:p>
        </w:tc>
        <w:tc>
          <w:tcPr>
            <w:tcW w:w="30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0F48E1" w14:textId="77777777" w:rsidR="00084301" w:rsidRDefault="00447F2C">
            <w:r>
              <w:rPr>
                <w:sz w:val="20"/>
                <w:szCs w:val="20"/>
              </w:rPr>
              <w:t>Dropping off items, attending assembly, brief meeting</w:t>
            </w:r>
          </w:p>
        </w:tc>
        <w:tc>
          <w:tcPr>
            <w:tcW w:w="23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6BB8D5" w14:textId="57D07A98" w:rsidR="00084301" w:rsidRDefault="00447F2C">
            <w:r>
              <w:rPr>
                <w:sz w:val="20"/>
                <w:szCs w:val="20"/>
              </w:rPr>
              <w:t xml:space="preserve">No — </w:t>
            </w:r>
            <w:r w:rsidR="00B659AE">
              <w:rPr>
                <w:sz w:val="20"/>
                <w:szCs w:val="20"/>
              </w:rPr>
              <w:t xml:space="preserve">must be </w:t>
            </w:r>
            <w:proofErr w:type="gramStart"/>
            <w:r>
              <w:rPr>
                <w:sz w:val="20"/>
                <w:szCs w:val="20"/>
              </w:rPr>
              <w:t>supervised at all times</w:t>
            </w:r>
            <w:proofErr w:type="gramEnd"/>
          </w:p>
        </w:tc>
        <w:tc>
          <w:tcPr>
            <w:tcW w:w="15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B9E75BC" w14:textId="77777777" w:rsidR="00084301" w:rsidRDefault="00447F2C">
            <w:r>
              <w:rPr>
                <w:sz w:val="20"/>
                <w:szCs w:val="20"/>
              </w:rPr>
              <w:t>Yes</w:t>
            </w:r>
          </w:p>
        </w:tc>
      </w:tr>
      <w:tr w:rsidR="00084301" w14:paraId="2E261D88" w14:textId="77777777" w:rsidTr="0895B003">
        <w:tc>
          <w:tcPr>
            <w:tcW w:w="25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1445978" w14:textId="77777777" w:rsidR="00084301" w:rsidRDefault="00447F2C">
            <w:r>
              <w:rPr>
                <w:b/>
                <w:bCs/>
                <w:sz w:val="20"/>
                <w:szCs w:val="20"/>
              </w:rPr>
              <w:t>Regular Volunteers</w:t>
            </w:r>
          </w:p>
        </w:tc>
        <w:tc>
          <w:tcPr>
            <w:tcW w:w="30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628F2D6" w14:textId="77777777" w:rsidR="00084301" w:rsidRDefault="00447F2C">
            <w:r>
              <w:rPr>
                <w:sz w:val="20"/>
                <w:szCs w:val="20"/>
              </w:rPr>
              <w:t>Classroom help, canteen, excursions, reading groups</w:t>
            </w:r>
          </w:p>
        </w:tc>
        <w:tc>
          <w:tcPr>
            <w:tcW w:w="23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BF8D5F5" w14:textId="77777777" w:rsidR="00084301" w:rsidRDefault="00447F2C">
            <w:r>
              <w:rPr>
                <w:sz w:val="20"/>
                <w:szCs w:val="20"/>
              </w:rPr>
              <w:t>Yes — must sight &amp; record card number</w:t>
            </w:r>
          </w:p>
        </w:tc>
        <w:tc>
          <w:tcPr>
            <w:tcW w:w="15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434F19E" w14:textId="77777777" w:rsidR="00084301" w:rsidRDefault="00447F2C">
            <w:r>
              <w:rPr>
                <w:sz w:val="20"/>
                <w:szCs w:val="20"/>
              </w:rPr>
              <w:t>Supervised</w:t>
            </w:r>
          </w:p>
        </w:tc>
      </w:tr>
      <w:tr w:rsidR="00084301" w14:paraId="2F6A6818" w14:textId="77777777" w:rsidTr="0895B003">
        <w:tc>
          <w:tcPr>
            <w:tcW w:w="25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0E844" w14:textId="4D511731" w:rsidR="00084301" w:rsidRDefault="00447F2C">
            <w:r>
              <w:rPr>
                <w:b/>
                <w:bCs/>
                <w:sz w:val="20"/>
                <w:szCs w:val="20"/>
              </w:rPr>
              <w:t xml:space="preserve">Contractors </w:t>
            </w:r>
          </w:p>
        </w:tc>
        <w:tc>
          <w:tcPr>
            <w:tcW w:w="30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B2C08" w14:textId="0ED5B370" w:rsidR="00084301" w:rsidRDefault="00447F2C">
            <w:r>
              <w:rPr>
                <w:sz w:val="20"/>
                <w:szCs w:val="20"/>
              </w:rPr>
              <w:t>Building works, appliance repair near classrooms</w:t>
            </w:r>
            <w:r w:rsidR="00B659AE">
              <w:rPr>
                <w:sz w:val="20"/>
                <w:szCs w:val="20"/>
              </w:rPr>
              <w:t>, maintenance</w:t>
            </w:r>
          </w:p>
        </w:tc>
        <w:tc>
          <w:tcPr>
            <w:tcW w:w="23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954F2A5" w14:textId="77777777" w:rsidR="00084301" w:rsidRDefault="00447F2C">
            <w:r>
              <w:rPr>
                <w:sz w:val="20"/>
                <w:szCs w:val="20"/>
              </w:rPr>
              <w:t>Yes — mandatory</w:t>
            </w:r>
          </w:p>
        </w:tc>
        <w:tc>
          <w:tcPr>
            <w:tcW w:w="15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ED5F35" w14:textId="11EAE8AE" w:rsidR="00084301" w:rsidRDefault="00B659AE">
            <w:r>
              <w:t>Staff present</w:t>
            </w:r>
          </w:p>
        </w:tc>
      </w:tr>
      <w:tr w:rsidR="00084301" w14:paraId="304E407F" w14:textId="77777777" w:rsidTr="0895B003">
        <w:tc>
          <w:tcPr>
            <w:tcW w:w="25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2833AB" w14:textId="77777777" w:rsidR="00084301" w:rsidRDefault="00447F2C">
            <w:r>
              <w:rPr>
                <w:b/>
                <w:bCs/>
                <w:sz w:val="20"/>
                <w:szCs w:val="20"/>
              </w:rPr>
              <w:t>External Program Providers</w:t>
            </w:r>
          </w:p>
        </w:tc>
        <w:tc>
          <w:tcPr>
            <w:tcW w:w="30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152DD85" w14:textId="77777777" w:rsidR="00084301" w:rsidRDefault="00447F2C">
            <w:r>
              <w:rPr>
                <w:sz w:val="20"/>
                <w:szCs w:val="20"/>
              </w:rPr>
              <w:t>Sports coaches, artists, incursion staff</w:t>
            </w:r>
          </w:p>
        </w:tc>
        <w:tc>
          <w:tcPr>
            <w:tcW w:w="23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090C36" w14:textId="77777777" w:rsidR="00084301" w:rsidRDefault="00447F2C">
            <w:r>
              <w:rPr>
                <w:sz w:val="20"/>
                <w:szCs w:val="20"/>
              </w:rPr>
              <w:t>Yes — mandatory</w:t>
            </w:r>
          </w:p>
        </w:tc>
        <w:tc>
          <w:tcPr>
            <w:tcW w:w="15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D2645BD" w14:textId="77777777" w:rsidR="00084301" w:rsidRDefault="00447F2C">
            <w:r>
              <w:rPr>
                <w:sz w:val="20"/>
                <w:szCs w:val="20"/>
              </w:rPr>
              <w:t>Staff present</w:t>
            </w:r>
          </w:p>
        </w:tc>
      </w:tr>
      <w:tr w:rsidR="00084301" w14:paraId="27EF58C4" w14:textId="77777777" w:rsidTr="0895B003">
        <w:tc>
          <w:tcPr>
            <w:tcW w:w="25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0D2400" w14:textId="77777777" w:rsidR="00084301" w:rsidRDefault="00447F2C">
            <w:r>
              <w:rPr>
                <w:b/>
                <w:bCs/>
                <w:sz w:val="20"/>
                <w:szCs w:val="20"/>
              </w:rPr>
              <w:t>Student Teachers / Placement</w:t>
            </w:r>
          </w:p>
        </w:tc>
        <w:tc>
          <w:tcPr>
            <w:tcW w:w="30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AE201" w14:textId="77777777" w:rsidR="00084301" w:rsidRDefault="00447F2C">
            <w:r>
              <w:rPr>
                <w:sz w:val="20"/>
                <w:szCs w:val="20"/>
              </w:rPr>
              <w:t>University practicum students</w:t>
            </w:r>
          </w:p>
        </w:tc>
        <w:tc>
          <w:tcPr>
            <w:tcW w:w="23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2CF737" w14:textId="77777777" w:rsidR="00084301" w:rsidRDefault="00447F2C">
            <w:r>
              <w:rPr>
                <w:sz w:val="20"/>
                <w:szCs w:val="20"/>
              </w:rPr>
              <w:t xml:space="preserve">Yes — must be verified by </w:t>
            </w:r>
            <w:proofErr w:type="spellStart"/>
            <w:r>
              <w:rPr>
                <w:sz w:val="20"/>
                <w:szCs w:val="20"/>
              </w:rPr>
              <w:t>uni</w:t>
            </w:r>
            <w:proofErr w:type="spellEnd"/>
          </w:p>
        </w:tc>
        <w:tc>
          <w:tcPr>
            <w:tcW w:w="15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2F2F2" w:themeFill="background1" w:themeFillShade="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414AAF6" w14:textId="77777777" w:rsidR="00084301" w:rsidRDefault="00447F2C">
            <w:r>
              <w:rPr>
                <w:sz w:val="20"/>
                <w:szCs w:val="20"/>
              </w:rPr>
              <w:t>Supervising teacher</w:t>
            </w:r>
          </w:p>
        </w:tc>
      </w:tr>
      <w:tr w:rsidR="00084301" w14:paraId="1523CC75" w14:textId="77777777" w:rsidTr="0895B003">
        <w:tc>
          <w:tcPr>
            <w:tcW w:w="25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2D0FED" w14:textId="588601E0" w:rsidR="00084301" w:rsidRDefault="00447F2C">
            <w:r w:rsidRPr="0895B003">
              <w:rPr>
                <w:b/>
                <w:bCs/>
                <w:sz w:val="20"/>
                <w:szCs w:val="20"/>
              </w:rPr>
              <w:t>DE / Authority Staff</w:t>
            </w:r>
          </w:p>
        </w:tc>
        <w:tc>
          <w:tcPr>
            <w:tcW w:w="30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C8BDD4" w14:textId="125C83B1" w:rsidR="00084301" w:rsidRDefault="001A4577">
            <w:r>
              <w:rPr>
                <w:sz w:val="20"/>
                <w:szCs w:val="20"/>
              </w:rPr>
              <w:t>Members of the school performance workforce</w:t>
            </w:r>
            <w:r w:rsidRPr="0895B003">
              <w:rPr>
                <w:sz w:val="20"/>
                <w:szCs w:val="20"/>
              </w:rPr>
              <w:t xml:space="preserve">, </w:t>
            </w:r>
            <w:proofErr w:type="spellStart"/>
            <w:r w:rsidR="00B659AE" w:rsidRPr="0895B003">
              <w:rPr>
                <w:sz w:val="20"/>
                <w:szCs w:val="20"/>
              </w:rPr>
              <w:t>SSServices</w:t>
            </w:r>
            <w:proofErr w:type="spellEnd"/>
            <w:r w:rsidR="00B659AE" w:rsidRPr="0895B00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0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2759D7" w14:textId="2F8B18CE" w:rsidR="00084301" w:rsidRDefault="00447F2C">
            <w:proofErr w:type="gramStart"/>
            <w:r>
              <w:rPr>
                <w:sz w:val="20"/>
                <w:szCs w:val="20"/>
              </w:rPr>
              <w:t>Yes</w:t>
            </w:r>
            <w:proofErr w:type="gramEnd"/>
            <w:r>
              <w:rPr>
                <w:sz w:val="20"/>
                <w:szCs w:val="20"/>
              </w:rPr>
              <w:t xml:space="preserve"> or DE ID sighted</w:t>
            </w:r>
          </w:p>
        </w:tc>
        <w:tc>
          <w:tcPr>
            <w:tcW w:w="15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FFFFFF" w:themeFill="background1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7AE4F45" w14:textId="77777777" w:rsidR="00084301" w:rsidRDefault="00447F2C">
            <w:r>
              <w:rPr>
                <w:sz w:val="20"/>
                <w:szCs w:val="20"/>
              </w:rPr>
              <w:t>As required</w:t>
            </w:r>
          </w:p>
        </w:tc>
      </w:tr>
    </w:tbl>
    <w:p w14:paraId="19676C70" w14:textId="77777777" w:rsidR="00084301" w:rsidRDefault="00084301">
      <w:pPr>
        <w:spacing w:before="120" w:after="120"/>
      </w:pPr>
    </w:p>
    <w:p w14:paraId="2FB7C68D" w14:textId="77777777" w:rsidR="00084301" w:rsidRDefault="00447F2C">
      <w:pPr>
        <w:pStyle w:val="Heading1"/>
        <w:pBdr>
          <w:bottom w:val="single" w:sz="6" w:space="4" w:color="2E75B6"/>
        </w:pBdr>
      </w:pPr>
      <w:r>
        <w:t>5. Sign-In Procedure</w:t>
      </w:r>
    </w:p>
    <w:p w14:paraId="3848DC1A" w14:textId="77777777" w:rsidR="00084301" w:rsidRDefault="00447F2C">
      <w:pPr>
        <w:pStyle w:val="Heading2"/>
      </w:pPr>
      <w:r>
        <w:t>5.1 All Visitors — Upon Arrival</w:t>
      </w:r>
    </w:p>
    <w:p w14:paraId="5E3092DB" w14:textId="77777777" w:rsidR="00084301" w:rsidRDefault="00447F2C">
      <w:pPr>
        <w:spacing w:before="80" w:after="80"/>
      </w:pPr>
      <w:r>
        <w:t>Every person (other than enrolled students and staff) who enters the school during school hours must follow these steps:</w:t>
      </w:r>
    </w:p>
    <w:p w14:paraId="087ECB5B" w14:textId="77777777" w:rsidR="00084301" w:rsidRDefault="00084301">
      <w:pPr>
        <w:spacing w:before="60" w:after="60"/>
      </w:pPr>
    </w:p>
    <w:p w14:paraId="034C15D7" w14:textId="158B803B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 xml:space="preserve">Report directly to the Front Office </w:t>
      </w:r>
      <w:r w:rsidR="00B659AE">
        <w:t xml:space="preserve">(Castella St) </w:t>
      </w:r>
      <w:r>
        <w:t>upon arrival. Do not proceed to classrooms or other areas of the school without first signing in.</w:t>
      </w:r>
    </w:p>
    <w:p w14:paraId="18EE79ED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State your name, reason for visit, and the staff member or class you are visiting.</w:t>
      </w:r>
    </w:p>
    <w:p w14:paraId="0FC84202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Present photo identification if you are not personally known to the office staff.</w:t>
      </w:r>
    </w:p>
    <w:p w14:paraId="10990718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 xml:space="preserve">Present your Working </w:t>
      </w:r>
      <w:proofErr w:type="gramStart"/>
      <w:r>
        <w:t>With</w:t>
      </w:r>
      <w:proofErr w:type="gramEnd"/>
      <w:r>
        <w:t xml:space="preserve"> Children (WWC) Check card if required for your category (see Section 4).</w:t>
      </w:r>
    </w:p>
    <w:p w14:paraId="59B1D851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lastRenderedPageBreak/>
        <w:t>Sign the Visitor Register, recording your name, organisation/relationship, purpose, and time of arrival.</w:t>
      </w:r>
    </w:p>
    <w:p w14:paraId="16C488E6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 xml:space="preserve">Collect a visitor lanyard or badge from the front office and </w:t>
      </w:r>
      <w:proofErr w:type="gramStart"/>
      <w:r>
        <w:t>wear it visibly at all times</w:t>
      </w:r>
      <w:proofErr w:type="gramEnd"/>
      <w:r>
        <w:t xml:space="preserve"> while on school grounds.</w:t>
      </w:r>
    </w:p>
    <w:p w14:paraId="0CC4A17F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Wait in the front office area or designated waiting space until escorted by a staff member, or until the office confirms you may proceed independently.</w:t>
      </w:r>
    </w:p>
    <w:p w14:paraId="6E74329E" w14:textId="77777777" w:rsidR="00084301" w:rsidRDefault="00084301">
      <w:pPr>
        <w:spacing w:before="60" w:after="60"/>
      </w:pPr>
    </w:p>
    <w:p w14:paraId="7AC6BB0D" w14:textId="77777777" w:rsidR="00084301" w:rsidRDefault="00447F2C">
      <w:pPr>
        <w:pStyle w:val="Heading2"/>
      </w:pPr>
      <w:r>
        <w:t>5.2 Signing Out</w:t>
      </w:r>
    </w:p>
    <w:p w14:paraId="3502D20B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Return to the Front Office before leaving the school grounds.</w:t>
      </w:r>
    </w:p>
    <w:p w14:paraId="4840AE43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Record your time of departure in the Visitor Register.</w:t>
      </w:r>
    </w:p>
    <w:p w14:paraId="746A1801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Return your visitor lanyard or badge to the front office.</w:t>
      </w:r>
    </w:p>
    <w:p w14:paraId="2527CC23" w14:textId="77777777" w:rsidR="00084301" w:rsidRDefault="00084301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84301" w14:paraId="5CFB787D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02CF123E" w14:textId="77777777" w:rsidR="00084301" w:rsidRDefault="00447F2C">
            <w:r>
              <w:rPr>
                <w:b/>
                <w:bCs/>
                <w:color w:val="1F4E79"/>
                <w:sz w:val="24"/>
                <w:szCs w:val="24"/>
              </w:rPr>
              <w:t>Important — Unannounced or Unidentified Visitors</w:t>
            </w:r>
          </w:p>
        </w:tc>
      </w:tr>
      <w:tr w:rsidR="00084301" w14:paraId="57CACC82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64A3472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If you observe someone on school grounds who does not have a visible visitor lanyard, please notify the front office immediately</w:t>
            </w:r>
          </w:p>
        </w:tc>
      </w:tr>
      <w:tr w:rsidR="00084301" w14:paraId="1FC92DC0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1481ED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Staff are empowered to politely approach unidentified individuals and direct them to the front office</w:t>
            </w:r>
          </w:p>
        </w:tc>
      </w:tr>
      <w:tr w:rsidR="00084301" w14:paraId="33FE368E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3ECF1A0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For any person who refuses to comply or whose behaviour is concerning, contact the </w:t>
            </w:r>
            <w:proofErr w:type="gramStart"/>
            <w:r>
              <w:t>Principal</w:t>
            </w:r>
            <w:proofErr w:type="gramEnd"/>
            <w:r>
              <w:t xml:space="preserve"> or call 000 if there is immediate risk</w:t>
            </w:r>
          </w:p>
        </w:tc>
      </w:tr>
    </w:tbl>
    <w:p w14:paraId="3A7FBE9A" w14:textId="77777777" w:rsidR="00084301" w:rsidRDefault="00084301">
      <w:pPr>
        <w:spacing w:before="120" w:after="120"/>
      </w:pPr>
    </w:p>
    <w:p w14:paraId="51BFEBB1" w14:textId="77777777" w:rsidR="00084301" w:rsidRDefault="00447F2C">
      <w:pPr>
        <w:pStyle w:val="Heading1"/>
        <w:pBdr>
          <w:bottom w:val="single" w:sz="6" w:space="4" w:color="2E75B6"/>
        </w:pBdr>
      </w:pPr>
      <w:r>
        <w:t>6. Site Induction</w:t>
      </w:r>
    </w:p>
    <w:p w14:paraId="4AC1C5A9" w14:textId="77777777" w:rsidR="00084301" w:rsidRDefault="00447F2C">
      <w:pPr>
        <w:pStyle w:val="Heading2"/>
      </w:pPr>
      <w:r>
        <w:t>6.1 Brief Visitors and Families</w:t>
      </w:r>
    </w:p>
    <w:p w14:paraId="06C8AE81" w14:textId="77777777" w:rsidR="00084301" w:rsidRDefault="00447F2C">
      <w:pPr>
        <w:spacing w:before="80" w:after="80"/>
      </w:pPr>
      <w:r>
        <w:t>All visitors attending for a short, supervised visit (e.g. assembly, classroom reading, delivering lunch) will receive a brief verbal orientation from front office staff covering:</w:t>
      </w:r>
    </w:p>
    <w:p w14:paraId="5BDB30A0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Where they are permitted to go on school grounds</w:t>
      </w:r>
    </w:p>
    <w:p w14:paraId="02E558F3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Who to contact if they need assistance</w:t>
      </w:r>
    </w:p>
    <w:p w14:paraId="33920831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Emergency exit locations and the assembly area</w:t>
      </w:r>
    </w:p>
    <w:p w14:paraId="04511633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Mobile phone and photography expectations</w:t>
      </w:r>
    </w:p>
    <w:p w14:paraId="35CD5734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Reminder that unsupervised access to students is not permitted</w:t>
      </w:r>
    </w:p>
    <w:p w14:paraId="219733F8" w14:textId="77777777" w:rsidR="00084301" w:rsidRDefault="00084301">
      <w:pPr>
        <w:spacing w:before="60" w:after="60"/>
      </w:pPr>
    </w:p>
    <w:p w14:paraId="40B16EE9" w14:textId="77777777" w:rsidR="00084301" w:rsidRDefault="00447F2C">
      <w:pPr>
        <w:pStyle w:val="Heading2"/>
      </w:pPr>
      <w:r>
        <w:t>6.2 Regular Volunteers</w:t>
      </w:r>
    </w:p>
    <w:p w14:paraId="71F8B4DC" w14:textId="77777777" w:rsidR="00084301" w:rsidRDefault="00447F2C">
      <w:pPr>
        <w:spacing w:before="80" w:after="80"/>
      </w:pPr>
      <w:r>
        <w:t>Volunteers who attend on an ongoing basis (e.g. classroom helpers, canteen, excursion support) must complete a full induction prior to commencing, which includes:</w:t>
      </w:r>
    </w:p>
    <w:p w14:paraId="6D3F626A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Reading and signing the LPS Volunteer Agreement and Code of Conduct</w:t>
      </w:r>
    </w:p>
    <w:p w14:paraId="33AF7E82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Confirming a valid WWC Check (number recorded by office staff)</w:t>
      </w:r>
    </w:p>
    <w:p w14:paraId="6E9520C2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Reviewing the Child Safety Policy and reporting obligations</w:t>
      </w:r>
    </w:p>
    <w:p w14:paraId="6A16A304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Being briefed on emergency procedures including evacuation and lockdown</w:t>
      </w:r>
    </w:p>
    <w:p w14:paraId="0178CA11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Completing the DET Child Safety Induction (online module, if applicable)</w:t>
      </w:r>
    </w:p>
    <w:p w14:paraId="11EC9A16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Being introduced to their supervising teacher or coordinator</w:t>
      </w:r>
    </w:p>
    <w:p w14:paraId="3CE00267" w14:textId="77777777" w:rsidR="00084301" w:rsidRDefault="00084301">
      <w:pPr>
        <w:spacing w:before="60" w:after="60"/>
      </w:pPr>
    </w:p>
    <w:p w14:paraId="78C90889" w14:textId="77777777" w:rsidR="00084301" w:rsidRDefault="00447F2C">
      <w:pPr>
        <w:pStyle w:val="Heading2"/>
      </w:pPr>
      <w:r>
        <w:lastRenderedPageBreak/>
        <w:t>6.3 Contractors and Tradespeople</w:t>
      </w:r>
    </w:p>
    <w:p w14:paraId="5359737E" w14:textId="77777777" w:rsidR="00084301" w:rsidRDefault="00447F2C">
      <w:pPr>
        <w:spacing w:before="80" w:after="80"/>
      </w:pPr>
      <w:r>
        <w:t>All contractors working on school grounds must complete a site induction before commencing work. This is coordinated by the Business Manager or Principal’s delegate and includes:</w:t>
      </w:r>
    </w:p>
    <w:p w14:paraId="29B08F34" w14:textId="77777777" w:rsidR="00084301" w:rsidRDefault="00084301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84301" w14:paraId="443180C6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75727CFA" w14:textId="77777777" w:rsidR="00084301" w:rsidRDefault="00447F2C">
            <w:r>
              <w:rPr>
                <w:b/>
                <w:bCs/>
                <w:color w:val="1F4E79"/>
                <w:sz w:val="24"/>
                <w:szCs w:val="24"/>
              </w:rPr>
              <w:t>Contractor Site Induction Checklist</w:t>
            </w:r>
          </w:p>
        </w:tc>
      </w:tr>
      <w:tr w:rsidR="00084301" w14:paraId="61AC51BC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A2612CF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Review and sign the Contractor Site Induction Form</w:t>
            </w:r>
          </w:p>
        </w:tc>
      </w:tr>
      <w:tr w:rsidR="00084301" w14:paraId="68AAC3BA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AC87E87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 xml:space="preserve">Sight and record Working </w:t>
            </w:r>
            <w:proofErr w:type="gramStart"/>
            <w:r>
              <w:t>With</w:t>
            </w:r>
            <w:proofErr w:type="gramEnd"/>
            <w:r>
              <w:t xml:space="preserve"> Children Check (if accessing student areas)</w:t>
            </w:r>
          </w:p>
        </w:tc>
      </w:tr>
      <w:tr w:rsidR="00084301" w14:paraId="4533721B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7A23A9BB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Review site map and identify restricted areas (classrooms, toilets, playgrounds)</w:t>
            </w:r>
          </w:p>
        </w:tc>
      </w:tr>
      <w:tr w:rsidR="00084301" w14:paraId="4EFDFA2F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61AD435C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Confirm understanding of student access restrictions — no unsupervised contact with students</w:t>
            </w:r>
          </w:p>
        </w:tc>
      </w:tr>
      <w:tr w:rsidR="00084301" w14:paraId="75B81896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073CE25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Confirm understanding of emergency evacuation procedures and assembly point</w:t>
            </w:r>
          </w:p>
        </w:tc>
      </w:tr>
      <w:tr w:rsidR="00084301" w14:paraId="789DC8A4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329426B5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Review OHS requirements including hazard reporting, PPE, and safe work method statements</w:t>
            </w:r>
          </w:p>
        </w:tc>
      </w:tr>
      <w:tr w:rsidR="00084301" w14:paraId="705345AF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58272214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Confirm understanding of noise and disruption minimisation during school hours</w:t>
            </w:r>
          </w:p>
        </w:tc>
      </w:tr>
      <w:tr w:rsidR="00084301" w14:paraId="703E311B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5A54468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Obtain a site-specific contractor badge/lanyard for the duration of works</w:t>
            </w:r>
          </w:p>
        </w:tc>
      </w:tr>
      <w:tr w:rsidR="00084301" w14:paraId="0F0E5C30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CEEC528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Confirm contact details for the supervising staff member (Business Manager or Principal)</w:t>
            </w:r>
          </w:p>
        </w:tc>
      </w:tr>
    </w:tbl>
    <w:p w14:paraId="34F349F2" w14:textId="77777777" w:rsidR="00084301" w:rsidRDefault="00084301">
      <w:pPr>
        <w:spacing w:before="60" w:after="60"/>
      </w:pPr>
    </w:p>
    <w:p w14:paraId="74689EB4" w14:textId="77777777" w:rsidR="00084301" w:rsidRDefault="00447F2C">
      <w:pPr>
        <w:pStyle w:val="Heading2"/>
      </w:pPr>
      <w:r>
        <w:t>6.4 External Program Providers</w:t>
      </w:r>
    </w:p>
    <w:p w14:paraId="6C9D5EC4" w14:textId="77777777" w:rsidR="00084301" w:rsidRDefault="00447F2C">
      <w:pPr>
        <w:spacing w:before="80" w:after="80"/>
      </w:pPr>
      <w:r>
        <w:t>Providers delivering incursions, sports programs, or other curriculum-linked activities must:</w:t>
      </w:r>
    </w:p>
    <w:p w14:paraId="6C497D50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Provide a current WWC Check prior to the visit</w:t>
      </w:r>
    </w:p>
    <w:p w14:paraId="5A59467E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Provide proof of public liability insurance (</w:t>
      </w:r>
      <w:r w:rsidRPr="001A4577">
        <w:t>minimum $20 million)</w:t>
      </w:r>
    </w:p>
    <w:p w14:paraId="2DF24749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Submit a program outline and risk assessment to the principal prior to delivery</w:t>
      </w:r>
    </w:p>
    <w:p w14:paraId="42A58A7E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Agree to always work in the presence of a supervising LPS staff member</w:t>
      </w:r>
    </w:p>
    <w:p w14:paraId="63BEEED8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Complete a brief site induction on arrival covering emergency procedures and student access protocols</w:t>
      </w:r>
    </w:p>
    <w:p w14:paraId="2EDDC3F7" w14:textId="77777777" w:rsidR="00084301" w:rsidRDefault="00084301">
      <w:pPr>
        <w:spacing w:before="120" w:after="120"/>
      </w:pPr>
    </w:p>
    <w:p w14:paraId="0CB39900" w14:textId="77777777" w:rsidR="00084301" w:rsidRDefault="00447F2C">
      <w:pPr>
        <w:pStyle w:val="Heading1"/>
        <w:pBdr>
          <w:bottom w:val="single" w:sz="6" w:space="4" w:color="2E75B6"/>
        </w:pBdr>
      </w:pPr>
      <w:r>
        <w:t>7. Photography and Recording</w:t>
      </w:r>
    </w:p>
    <w:p w14:paraId="6101464D" w14:textId="77777777" w:rsidR="00084301" w:rsidRDefault="00447F2C">
      <w:pPr>
        <w:spacing w:before="80" w:after="80"/>
      </w:pPr>
      <w:r>
        <w:t>To protect the privacy and safety of our students, the following apply to all visitors and contractors:</w:t>
      </w:r>
    </w:p>
    <w:p w14:paraId="08F2E5BF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Photography or video recording of students is strictly prohibited without prior written consent from the school</w:t>
      </w:r>
    </w:p>
    <w:p w14:paraId="696487D5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This applies to all devices including mobile phones, cameras, and tablets</w:t>
      </w:r>
    </w:p>
    <w:p w14:paraId="50BBE01A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Parents attending events (e.g. assemblies, sports days) are reminded of these expectations via pre-event communications</w:t>
      </w:r>
    </w:p>
    <w:p w14:paraId="52912A99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>Photography of building work or site areas must not include students or identifiable student information</w:t>
      </w:r>
    </w:p>
    <w:p w14:paraId="261C11AA" w14:textId="77777777" w:rsidR="00084301" w:rsidRDefault="00447F2C">
      <w:pPr>
        <w:pStyle w:val="ListParagraph"/>
        <w:numPr>
          <w:ilvl w:val="0"/>
          <w:numId w:val="2"/>
        </w:numPr>
        <w:spacing w:before="60" w:after="60"/>
      </w:pPr>
      <w:r>
        <w:t xml:space="preserve">Any concerns about unauthorised photography must be reported to the </w:t>
      </w:r>
      <w:proofErr w:type="gramStart"/>
      <w:r>
        <w:t>Principal</w:t>
      </w:r>
      <w:proofErr w:type="gramEnd"/>
      <w:r>
        <w:t xml:space="preserve"> immediately</w:t>
      </w:r>
    </w:p>
    <w:p w14:paraId="1DDE77AF" w14:textId="77777777" w:rsidR="00084301" w:rsidRDefault="00084301">
      <w:pPr>
        <w:spacing w:before="120" w:after="120"/>
      </w:pPr>
    </w:p>
    <w:p w14:paraId="7AA22EA4" w14:textId="77777777" w:rsidR="00084301" w:rsidRDefault="00447F2C">
      <w:pPr>
        <w:pStyle w:val="Heading1"/>
        <w:pBdr>
          <w:bottom w:val="single" w:sz="6" w:space="4" w:color="2E75B6"/>
        </w:pBdr>
      </w:pPr>
      <w:r>
        <w:t>8. Reporting Child Safety Concerns</w:t>
      </w:r>
    </w:p>
    <w:p w14:paraId="3AE44104" w14:textId="77777777" w:rsidR="00084301" w:rsidRDefault="00447F2C">
      <w:pPr>
        <w:spacing w:before="80" w:after="80"/>
      </w:pPr>
      <w:r>
        <w:t>All visitors and contractors have an obligation to report any child safety concerns. If you observe or suspect that a child is at risk of harm while on school grounds:</w:t>
      </w:r>
    </w:p>
    <w:p w14:paraId="619EFE9B" w14:textId="77777777" w:rsidR="00084301" w:rsidRDefault="00084301">
      <w:pPr>
        <w:spacing w:before="60" w:after="60"/>
      </w:pPr>
    </w:p>
    <w:p w14:paraId="2B9A7D71" w14:textId="39408251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 xml:space="preserve">Report your concern immediately to the </w:t>
      </w:r>
      <w:proofErr w:type="gramStart"/>
      <w:r>
        <w:t>Principal</w:t>
      </w:r>
      <w:proofErr w:type="gramEnd"/>
      <w:r>
        <w:t xml:space="preserve"> at the front office.</w:t>
      </w:r>
    </w:p>
    <w:p w14:paraId="60CB1890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Do not attempt to investigate or intervene directly with the child or alleged offender.</w:t>
      </w:r>
    </w:p>
    <w:p w14:paraId="6A7A3536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 xml:space="preserve">If a child discloses abuse or harm to you, listen calmly, do not promise confidentiality, and report to the </w:t>
      </w:r>
      <w:proofErr w:type="gramStart"/>
      <w:r>
        <w:t>Principal</w:t>
      </w:r>
      <w:proofErr w:type="gramEnd"/>
      <w:r>
        <w:t xml:space="preserve"> without delay.</w:t>
      </w:r>
    </w:p>
    <w:p w14:paraId="6D583DD8" w14:textId="77777777" w:rsidR="00084301" w:rsidRDefault="00447F2C">
      <w:pPr>
        <w:pStyle w:val="ListParagraph"/>
        <w:numPr>
          <w:ilvl w:val="0"/>
          <w:numId w:val="3"/>
        </w:numPr>
        <w:spacing w:before="60" w:after="60"/>
      </w:pPr>
      <w:r>
        <w:t>In an emergency or if there is immediate risk to a child, call 000.</w:t>
      </w:r>
    </w:p>
    <w:p w14:paraId="6D497084" w14:textId="77777777" w:rsidR="00084301" w:rsidRDefault="00084301">
      <w:pPr>
        <w:spacing w:before="60" w:after="60"/>
      </w:pP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60"/>
      </w:tblGrid>
      <w:tr w:rsidR="00084301" w14:paraId="6815FE85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D6E4F0"/>
            <w:tcMar>
              <w:top w:w="100" w:type="dxa"/>
              <w:left w:w="160" w:type="dxa"/>
              <w:bottom w:w="100" w:type="dxa"/>
              <w:right w:w="160" w:type="dxa"/>
            </w:tcMar>
          </w:tcPr>
          <w:p w14:paraId="356E6B45" w14:textId="77777777" w:rsidR="00084301" w:rsidRDefault="00447F2C">
            <w:r>
              <w:rPr>
                <w:b/>
                <w:bCs/>
                <w:color w:val="1F4E79"/>
                <w:sz w:val="24"/>
                <w:szCs w:val="24"/>
              </w:rPr>
              <w:t>Key Child Safety Contacts</w:t>
            </w:r>
          </w:p>
        </w:tc>
      </w:tr>
      <w:tr w:rsidR="00084301" w14:paraId="4F2D5B65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2ED226F5" w14:textId="0EAA6064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Principal — Front Office (03</w:t>
            </w:r>
            <w:r w:rsidRPr="00E71D59">
              <w:t xml:space="preserve">) </w:t>
            </w:r>
            <w:r w:rsidR="00C54A58" w:rsidRPr="00E71D59">
              <w:t>9735 1763</w:t>
            </w:r>
          </w:p>
        </w:tc>
      </w:tr>
      <w:tr w:rsidR="00084301" w14:paraId="29FA7580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1A181C18" w14:textId="5F78749F" w:rsidR="00084301" w:rsidRPr="00E71D59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 w:rsidRPr="00E71D59">
              <w:t>Child Protection Hotline (DCP) — 13</w:t>
            </w:r>
            <w:r w:rsidR="00E71D59" w:rsidRPr="00E71D59">
              <w:t>00</w:t>
            </w:r>
            <w:r w:rsidRPr="00E71D59">
              <w:t xml:space="preserve"> </w:t>
            </w:r>
            <w:r w:rsidR="00E71D59" w:rsidRPr="00E71D59">
              <w:t>360</w:t>
            </w:r>
            <w:r w:rsidRPr="00E71D59">
              <w:t xml:space="preserve"> </w:t>
            </w:r>
            <w:r w:rsidR="00E71D59" w:rsidRPr="00E71D59">
              <w:t>391</w:t>
            </w:r>
          </w:p>
        </w:tc>
      </w:tr>
      <w:tr w:rsidR="00084301" w14:paraId="5BA0F211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087A6C7F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PROTECT — Four Critical Actions for Schools: education.vic.gov.au/protect</w:t>
            </w:r>
          </w:p>
        </w:tc>
      </w:tr>
      <w:tr w:rsidR="00084301" w14:paraId="0CCE443D" w14:textId="77777777">
        <w:tc>
          <w:tcPr>
            <w:tcW w:w="9360" w:type="dxa"/>
            <w:tcBorders>
              <w:top w:val="single" w:sz="1" w:space="0" w:color="AECDE8"/>
              <w:left w:val="single" w:sz="1" w:space="0" w:color="AECDE8"/>
              <w:bottom w:val="single" w:sz="1" w:space="0" w:color="AECDE8"/>
              <w:right w:val="single" w:sz="1" w:space="0" w:color="AECDE8"/>
            </w:tcBorders>
            <w:shd w:val="clear" w:color="auto" w:fill="E8F4FD"/>
            <w:tcMar>
              <w:top w:w="80" w:type="dxa"/>
              <w:left w:w="160" w:type="dxa"/>
              <w:bottom w:w="80" w:type="dxa"/>
              <w:right w:w="160" w:type="dxa"/>
            </w:tcMar>
          </w:tcPr>
          <w:p w14:paraId="48735D47" w14:textId="77777777" w:rsidR="00084301" w:rsidRDefault="00447F2C">
            <w:pPr>
              <w:pStyle w:val="ListParagraph"/>
              <w:numPr>
                <w:ilvl w:val="0"/>
                <w:numId w:val="2"/>
              </w:numPr>
              <w:spacing w:before="40" w:after="40"/>
            </w:pPr>
            <w:r>
              <w:t>Victoria Police (Emergency) — 000</w:t>
            </w:r>
          </w:p>
        </w:tc>
      </w:tr>
    </w:tbl>
    <w:p w14:paraId="601C8AA9" w14:textId="77777777" w:rsidR="00084301" w:rsidRDefault="00084301">
      <w:pPr>
        <w:spacing w:before="120" w:after="120"/>
      </w:pPr>
    </w:p>
    <w:p w14:paraId="42005F91" w14:textId="77777777" w:rsidR="00084301" w:rsidRDefault="00447F2C">
      <w:pPr>
        <w:pStyle w:val="Heading1"/>
        <w:pBdr>
          <w:bottom w:val="single" w:sz="6" w:space="4" w:color="2E75B6"/>
        </w:pBdr>
      </w:pPr>
      <w:r>
        <w:t>9. Non-Compliance</w:t>
      </w:r>
    </w:p>
    <w:p w14:paraId="235F2647" w14:textId="00ADB448" w:rsidR="00084301" w:rsidRDefault="00447F2C">
      <w:pPr>
        <w:spacing w:before="80" w:after="80"/>
      </w:pPr>
      <w:r>
        <w:t xml:space="preserve">Any visitor, contractor, or volunteer who does not comply with this </w:t>
      </w:r>
      <w:r w:rsidR="00C54A58">
        <w:t>process</w:t>
      </w:r>
      <w:r>
        <w:t xml:space="preserve"> may be asked to leave the school grounds. The </w:t>
      </w:r>
      <w:proofErr w:type="gramStart"/>
      <w:r>
        <w:t>Principal</w:t>
      </w:r>
      <w:proofErr w:type="gramEnd"/>
      <w:r>
        <w:t xml:space="preserve"> reserves the right to refuse or withdraw access to any person whose presence poses a risk to the safety or wellbeing of students and staff.</w:t>
      </w:r>
    </w:p>
    <w:p w14:paraId="144C3B27" w14:textId="77777777" w:rsidR="00084301" w:rsidRDefault="00084301">
      <w:pPr>
        <w:spacing w:before="60" w:after="60"/>
      </w:pPr>
    </w:p>
    <w:p w14:paraId="4B85F3FA" w14:textId="77777777" w:rsidR="00084301" w:rsidRDefault="00447F2C">
      <w:pPr>
        <w:spacing w:before="80" w:after="80"/>
      </w:pPr>
      <w:r>
        <w:t>Repeated or serious non-compliance may be reported to the Department of Education, Victoria Police, or other relevant authorities as appropriate.</w:t>
      </w:r>
    </w:p>
    <w:p w14:paraId="6CED891F" w14:textId="77777777" w:rsidR="00084301" w:rsidRDefault="00084301">
      <w:pPr>
        <w:spacing w:before="120" w:after="120"/>
      </w:pPr>
    </w:p>
    <w:p w14:paraId="1C8E1184" w14:textId="68D602FE" w:rsidR="00B549F3" w:rsidRDefault="00B549F3"/>
    <w:sectPr w:rsidR="00B549F3">
      <w:headerReference w:type="default" r:id="rId12"/>
      <w:footerReference w:type="default" r:id="rId13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E435F9" w14:textId="77777777" w:rsidR="00447F2C" w:rsidRDefault="00447F2C">
      <w:r>
        <w:separator/>
      </w:r>
    </w:p>
  </w:endnote>
  <w:endnote w:type="continuationSeparator" w:id="0">
    <w:p w14:paraId="2DD62908" w14:textId="77777777" w:rsidR="00447F2C" w:rsidRDefault="00447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3A449" w14:textId="77777777" w:rsidR="00084301" w:rsidRDefault="00447F2C">
    <w:pPr>
      <w:pBdr>
        <w:top w:val="single" w:sz="6" w:space="4" w:color="2E75B6"/>
      </w:pBdr>
      <w:spacing w:before="120"/>
      <w:jc w:val="center"/>
    </w:pPr>
    <w:r>
      <w:rPr>
        <w:color w:val="888888"/>
        <w:sz w:val="18"/>
        <w:szCs w:val="18"/>
      </w:rPr>
      <w:t xml:space="preserve">Page </w:t>
    </w:r>
    <w:r>
      <w:rPr>
        <w:color w:val="888888"/>
        <w:sz w:val="18"/>
        <w:szCs w:val="18"/>
      </w:rPr>
      <w:fldChar w:fldCharType="begin"/>
    </w:r>
    <w:r>
      <w:rPr>
        <w:color w:val="888888"/>
        <w:sz w:val="18"/>
        <w:szCs w:val="18"/>
      </w:rPr>
      <w:instrText>PAGE</w:instrText>
    </w:r>
    <w:r>
      <w:rPr>
        <w:color w:val="888888"/>
        <w:sz w:val="18"/>
        <w:szCs w:val="18"/>
      </w:rPr>
      <w:fldChar w:fldCharType="separate"/>
    </w:r>
    <w:r w:rsidR="0017569A">
      <w:rPr>
        <w:noProof/>
        <w:color w:val="888888"/>
        <w:sz w:val="18"/>
        <w:szCs w:val="18"/>
      </w:rPr>
      <w:t>1</w:t>
    </w:r>
    <w:r>
      <w:rPr>
        <w:color w:val="888888"/>
        <w:sz w:val="18"/>
        <w:szCs w:val="18"/>
      </w:rPr>
      <w:fldChar w:fldCharType="end"/>
    </w:r>
    <w:r>
      <w:rPr>
        <w:color w:val="888888"/>
        <w:sz w:val="18"/>
        <w:szCs w:val="18"/>
      </w:rPr>
      <w:t xml:space="preserve">     |     Reviewed annually     |     Next review: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2BE08" w14:textId="77777777" w:rsidR="00447F2C" w:rsidRDefault="00447F2C">
      <w:r>
        <w:separator/>
      </w:r>
    </w:p>
  </w:footnote>
  <w:footnote w:type="continuationSeparator" w:id="0">
    <w:p w14:paraId="3DA3C400" w14:textId="77777777" w:rsidR="00447F2C" w:rsidRDefault="00447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4E05B" w14:textId="194E80B6" w:rsidR="00084301" w:rsidRDefault="00447F2C">
    <w:pPr>
      <w:pBdr>
        <w:bottom w:val="single" w:sz="6" w:space="4" w:color="2E75B6"/>
      </w:pBdr>
      <w:spacing w:after="160"/>
    </w:pPr>
    <w:r>
      <w:rPr>
        <w:b/>
        <w:bCs/>
        <w:color w:val="1F4E79"/>
        <w:sz w:val="26"/>
        <w:szCs w:val="26"/>
      </w:rPr>
      <w:t>LILYDALE PRIMARY SCHOOL</w:t>
    </w:r>
    <w:r>
      <w:rPr>
        <w:color w:val="555555"/>
      </w:rPr>
      <w:t xml:space="preserve">     | Child Safe Visitor &amp; Contractor Management </w:t>
    </w:r>
    <w:r w:rsidR="00E71D59">
      <w:rPr>
        <w:color w:val="555555"/>
      </w:rPr>
      <w:t>Procedure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E6E05"/>
    <w:multiLevelType w:val="hybridMultilevel"/>
    <w:tmpl w:val="07023B66"/>
    <w:lvl w:ilvl="0" w:tplc="0BBA2550">
      <w:start w:val="1"/>
      <w:numFmt w:val="bullet"/>
      <w:lvlText w:val="●"/>
      <w:lvlJc w:val="left"/>
      <w:pPr>
        <w:ind w:left="720" w:hanging="360"/>
      </w:pPr>
    </w:lvl>
    <w:lvl w:ilvl="1" w:tplc="EEAA8AE2">
      <w:start w:val="1"/>
      <w:numFmt w:val="bullet"/>
      <w:lvlText w:val="○"/>
      <w:lvlJc w:val="left"/>
      <w:pPr>
        <w:ind w:left="1440" w:hanging="360"/>
      </w:pPr>
    </w:lvl>
    <w:lvl w:ilvl="2" w:tplc="6610054A">
      <w:start w:val="1"/>
      <w:numFmt w:val="bullet"/>
      <w:lvlText w:val="■"/>
      <w:lvlJc w:val="left"/>
      <w:pPr>
        <w:ind w:left="2160" w:hanging="360"/>
      </w:pPr>
    </w:lvl>
    <w:lvl w:ilvl="3" w:tplc="266C713A">
      <w:start w:val="1"/>
      <w:numFmt w:val="bullet"/>
      <w:lvlText w:val="●"/>
      <w:lvlJc w:val="left"/>
      <w:pPr>
        <w:ind w:left="2880" w:hanging="360"/>
      </w:pPr>
    </w:lvl>
    <w:lvl w:ilvl="4" w:tplc="38E07B52">
      <w:start w:val="1"/>
      <w:numFmt w:val="bullet"/>
      <w:lvlText w:val="○"/>
      <w:lvlJc w:val="left"/>
      <w:pPr>
        <w:ind w:left="3600" w:hanging="360"/>
      </w:pPr>
    </w:lvl>
    <w:lvl w:ilvl="5" w:tplc="903CC6CC">
      <w:start w:val="1"/>
      <w:numFmt w:val="bullet"/>
      <w:lvlText w:val="■"/>
      <w:lvlJc w:val="left"/>
      <w:pPr>
        <w:ind w:left="4320" w:hanging="360"/>
      </w:pPr>
    </w:lvl>
    <w:lvl w:ilvl="6" w:tplc="092ACA1A">
      <w:start w:val="1"/>
      <w:numFmt w:val="bullet"/>
      <w:lvlText w:val="●"/>
      <w:lvlJc w:val="left"/>
      <w:pPr>
        <w:ind w:left="5040" w:hanging="360"/>
      </w:pPr>
    </w:lvl>
    <w:lvl w:ilvl="7" w:tplc="F3545D60">
      <w:start w:val="1"/>
      <w:numFmt w:val="bullet"/>
      <w:lvlText w:val="●"/>
      <w:lvlJc w:val="left"/>
      <w:pPr>
        <w:ind w:left="5760" w:hanging="360"/>
      </w:pPr>
    </w:lvl>
    <w:lvl w:ilvl="8" w:tplc="BFD00836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C4D352F"/>
    <w:multiLevelType w:val="hybridMultilevel"/>
    <w:tmpl w:val="07E66516"/>
    <w:lvl w:ilvl="0" w:tplc="6C2AE14E">
      <w:start w:val="1"/>
      <w:numFmt w:val="bullet"/>
      <w:lvlText w:val="•"/>
      <w:lvlJc w:val="left"/>
      <w:pPr>
        <w:ind w:left="720" w:hanging="360"/>
      </w:pPr>
    </w:lvl>
    <w:lvl w:ilvl="1" w:tplc="0F7C64B8">
      <w:numFmt w:val="decimal"/>
      <w:lvlText w:val=""/>
      <w:lvlJc w:val="left"/>
    </w:lvl>
    <w:lvl w:ilvl="2" w:tplc="6824AAB4">
      <w:numFmt w:val="decimal"/>
      <w:lvlText w:val=""/>
      <w:lvlJc w:val="left"/>
    </w:lvl>
    <w:lvl w:ilvl="3" w:tplc="4B8CC456">
      <w:numFmt w:val="decimal"/>
      <w:lvlText w:val=""/>
      <w:lvlJc w:val="left"/>
    </w:lvl>
    <w:lvl w:ilvl="4" w:tplc="8A14B70A">
      <w:numFmt w:val="decimal"/>
      <w:lvlText w:val=""/>
      <w:lvlJc w:val="left"/>
    </w:lvl>
    <w:lvl w:ilvl="5" w:tplc="797621F0">
      <w:numFmt w:val="decimal"/>
      <w:lvlText w:val=""/>
      <w:lvlJc w:val="left"/>
    </w:lvl>
    <w:lvl w:ilvl="6" w:tplc="69D8E4DA">
      <w:numFmt w:val="decimal"/>
      <w:lvlText w:val=""/>
      <w:lvlJc w:val="left"/>
    </w:lvl>
    <w:lvl w:ilvl="7" w:tplc="2B9C7DAC">
      <w:numFmt w:val="decimal"/>
      <w:lvlText w:val=""/>
      <w:lvlJc w:val="left"/>
    </w:lvl>
    <w:lvl w:ilvl="8" w:tplc="BDA6FC88">
      <w:numFmt w:val="decimal"/>
      <w:lvlText w:val=""/>
      <w:lvlJc w:val="left"/>
    </w:lvl>
  </w:abstractNum>
  <w:abstractNum w:abstractNumId="2" w15:restartNumberingAfterBreak="0">
    <w:nsid w:val="6A842B4A"/>
    <w:multiLevelType w:val="hybridMultilevel"/>
    <w:tmpl w:val="D94004CC"/>
    <w:lvl w:ilvl="0" w:tplc="4AFAB658">
      <w:start w:val="1"/>
      <w:numFmt w:val="decimal"/>
      <w:lvlText w:val="%1."/>
      <w:lvlJc w:val="left"/>
      <w:pPr>
        <w:ind w:left="720" w:hanging="360"/>
      </w:pPr>
    </w:lvl>
    <w:lvl w:ilvl="1" w:tplc="FE6ABAE8">
      <w:numFmt w:val="decimal"/>
      <w:lvlText w:val=""/>
      <w:lvlJc w:val="left"/>
    </w:lvl>
    <w:lvl w:ilvl="2" w:tplc="CBA8AAC4">
      <w:numFmt w:val="decimal"/>
      <w:lvlText w:val=""/>
      <w:lvlJc w:val="left"/>
    </w:lvl>
    <w:lvl w:ilvl="3" w:tplc="8D3E0D6E">
      <w:numFmt w:val="decimal"/>
      <w:lvlText w:val=""/>
      <w:lvlJc w:val="left"/>
    </w:lvl>
    <w:lvl w:ilvl="4" w:tplc="7ADCC394">
      <w:numFmt w:val="decimal"/>
      <w:lvlText w:val=""/>
      <w:lvlJc w:val="left"/>
    </w:lvl>
    <w:lvl w:ilvl="5" w:tplc="B7F4A10E">
      <w:numFmt w:val="decimal"/>
      <w:lvlText w:val=""/>
      <w:lvlJc w:val="left"/>
    </w:lvl>
    <w:lvl w:ilvl="6" w:tplc="0A26D2DE">
      <w:numFmt w:val="decimal"/>
      <w:lvlText w:val=""/>
      <w:lvlJc w:val="left"/>
    </w:lvl>
    <w:lvl w:ilvl="7" w:tplc="19588F5E">
      <w:numFmt w:val="decimal"/>
      <w:lvlText w:val=""/>
      <w:lvlJc w:val="left"/>
    </w:lvl>
    <w:lvl w:ilvl="8" w:tplc="7ED67AE6">
      <w:numFmt w:val="decimal"/>
      <w:lvlText w:val=""/>
      <w:lvlJc w:val="left"/>
    </w:lvl>
  </w:abstractNum>
  <w:num w:numId="1" w16cid:durableId="379676314">
    <w:abstractNumId w:val="0"/>
    <w:lvlOverride w:ilvl="0">
      <w:startOverride w:val="1"/>
    </w:lvlOverride>
  </w:num>
  <w:num w:numId="2" w16cid:durableId="119037047">
    <w:abstractNumId w:val="1"/>
    <w:lvlOverride w:ilvl="0">
      <w:startOverride w:val="1"/>
    </w:lvlOverride>
  </w:num>
  <w:num w:numId="3" w16cid:durableId="928582561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01"/>
    <w:rsid w:val="00084301"/>
    <w:rsid w:val="0017569A"/>
    <w:rsid w:val="001A4577"/>
    <w:rsid w:val="00340DB5"/>
    <w:rsid w:val="003721A0"/>
    <w:rsid w:val="004121D9"/>
    <w:rsid w:val="00447F2C"/>
    <w:rsid w:val="00712E76"/>
    <w:rsid w:val="008B1F0E"/>
    <w:rsid w:val="0092715D"/>
    <w:rsid w:val="00A40899"/>
    <w:rsid w:val="00AF7313"/>
    <w:rsid w:val="00B549F3"/>
    <w:rsid w:val="00B659AE"/>
    <w:rsid w:val="00C54A58"/>
    <w:rsid w:val="00DC05CA"/>
    <w:rsid w:val="00DD7164"/>
    <w:rsid w:val="00E71D59"/>
    <w:rsid w:val="00FD064C"/>
    <w:rsid w:val="00FE1CA8"/>
    <w:rsid w:val="0895B003"/>
    <w:rsid w:val="1A0CBBE5"/>
    <w:rsid w:val="1F5D5073"/>
    <w:rsid w:val="357CFDB3"/>
    <w:rsid w:val="5C22BD9E"/>
    <w:rsid w:val="6A1B9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7A57D3"/>
  <w15:docId w15:val="{28EE06FC-3EF0-44F6-A994-3A21BF79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spacing w:before="320" w:after="160"/>
      <w:outlineLvl w:val="0"/>
    </w:pPr>
    <w:rPr>
      <w:b/>
      <w:bCs/>
      <w:color w:val="1F4E79"/>
      <w:sz w:val="28"/>
      <w:szCs w:val="28"/>
    </w:rPr>
  </w:style>
  <w:style w:type="paragraph" w:styleId="Heading2">
    <w:name w:val="heading 2"/>
    <w:uiPriority w:val="9"/>
    <w:unhideWhenUsed/>
    <w:qFormat/>
    <w:pPr>
      <w:spacing w:before="240" w:after="120"/>
      <w:outlineLvl w:val="1"/>
    </w:pPr>
    <w:rPr>
      <w:b/>
      <w:bCs/>
      <w:color w:val="2E75B6"/>
      <w:sz w:val="24"/>
      <w:szCs w:val="24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71D5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1D59"/>
  </w:style>
  <w:style w:type="paragraph" w:styleId="Footer">
    <w:name w:val="footer"/>
    <w:basedOn w:val="Normal"/>
    <w:link w:val="FooterChar"/>
    <w:uiPriority w:val="99"/>
    <w:unhideWhenUsed/>
    <w:rsid w:val="00E71D5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1D59"/>
  </w:style>
  <w:style w:type="character" w:styleId="UnresolvedMention">
    <w:name w:val="Unresolved Mention"/>
    <w:basedOn w:val="DefaultParagraphFont"/>
    <w:uiPriority w:val="99"/>
    <w:semiHidden/>
    <w:unhideWhenUsed/>
    <w:rsid w:val="00E71D59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lydaleps.vic.edu.au/about-1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lilydaleps.vic.edu.au/school-policies-and-reports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lilydaleps.vic.edu.au/school-policies-and-report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lydaleps.vic.edu.au/school-policies-and-report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1409</Words>
  <Characters>8035</Characters>
  <Application>Microsoft Office Word</Application>
  <DocSecurity>4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and Training Victoria</Company>
  <LinksUpToDate>false</LinksUpToDate>
  <CharactersWithSpaces>9426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Kiara Goodman</cp:lastModifiedBy>
  <cp:revision>2</cp:revision>
  <dcterms:created xsi:type="dcterms:W3CDTF">2026-06-25T10:49:00Z</dcterms:created>
  <dcterms:modified xsi:type="dcterms:W3CDTF">2026-06-25T10:49:00Z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2c5dd9af-04a2-4679-b827-0cc26d553bb4</vt:lpwstr>
  </property>
</Properties>
</file>